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F17A" w14:textId="77777777" w:rsidR="00B575A4" w:rsidRDefault="00507497">
      <w:r w:rsidRPr="003F3D05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286D9E3" wp14:editId="4A61B268">
            <wp:simplePos x="0" y="0"/>
            <wp:positionH relativeFrom="column">
              <wp:posOffset>-75565</wp:posOffset>
            </wp:positionH>
            <wp:positionV relativeFrom="paragraph">
              <wp:posOffset>-427990</wp:posOffset>
            </wp:positionV>
            <wp:extent cx="2514600" cy="966470"/>
            <wp:effectExtent l="0" t="0" r="0" b="5080"/>
            <wp:wrapNone/>
            <wp:docPr id="5" name="Picture 5" descr="ATT Logo Secondary Academy RGB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TT Logo Secondary Academy RGB 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D05">
        <w:rPr>
          <w:b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21060A90" wp14:editId="7FCFF46D">
            <wp:simplePos x="0" y="0"/>
            <wp:positionH relativeFrom="column">
              <wp:posOffset>4853305</wp:posOffset>
            </wp:positionH>
            <wp:positionV relativeFrom="paragraph">
              <wp:posOffset>-440690</wp:posOffset>
            </wp:positionV>
            <wp:extent cx="1390015" cy="145669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Dukeries-logo-RGB-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4B78D" w14:textId="77777777" w:rsidR="0077585D" w:rsidRDefault="0077585D" w:rsidP="0087382E"/>
    <w:p w14:paraId="27427B15" w14:textId="77777777" w:rsidR="0077585D" w:rsidRPr="0077585D" w:rsidRDefault="0077585D" w:rsidP="0087382E">
      <w:pPr>
        <w:widowControl w:val="0"/>
        <w:autoSpaceDE w:val="0"/>
        <w:autoSpaceDN w:val="0"/>
        <w:spacing w:before="8"/>
        <w:ind w:right="-46"/>
        <w:rPr>
          <w:rFonts w:ascii="Calibri" w:eastAsia="Calibri" w:hAnsi="Calibri" w:cs="Calibri"/>
          <w:sz w:val="19"/>
          <w:lang w:val="en-GB" w:eastAsia="en-GB" w:bidi="en-GB"/>
        </w:rPr>
      </w:pPr>
    </w:p>
    <w:p w14:paraId="3C78ACD2" w14:textId="77777777" w:rsidR="0077585D" w:rsidRPr="0077585D" w:rsidRDefault="0077585D" w:rsidP="0087382E">
      <w:pPr>
        <w:widowControl w:val="0"/>
        <w:autoSpaceDE w:val="0"/>
        <w:autoSpaceDN w:val="0"/>
        <w:spacing w:before="8"/>
        <w:ind w:right="95"/>
        <w:rPr>
          <w:rFonts w:ascii="Calibri" w:eastAsia="Calibri" w:hAnsi="Calibri" w:cs="Calibri"/>
          <w:sz w:val="23"/>
          <w:lang w:val="en-GB" w:eastAsia="en-GB" w:bidi="en-GB"/>
        </w:rPr>
      </w:pPr>
    </w:p>
    <w:p w14:paraId="7C8AC61B" w14:textId="77777777" w:rsidR="0077585D" w:rsidRPr="0077585D" w:rsidRDefault="0077585D" w:rsidP="0077585D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sz w:val="19"/>
          <w:lang w:val="en-GB" w:eastAsia="en-GB" w:bidi="en-GB"/>
        </w:rPr>
      </w:pPr>
    </w:p>
    <w:p w14:paraId="72DF077F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712F7F8E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63D647F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3C4523FE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382A888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06883A68" w14:textId="3E6817C7" w:rsidR="00FA009A" w:rsidRPr="000978F1" w:rsidRDefault="000612CF" w:rsidP="00EE47EB">
      <w:pPr>
        <w:spacing w:after="24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2 </w:t>
      </w:r>
      <w:r w:rsidR="00193A92">
        <w:rPr>
          <w:rFonts w:ascii="Arial" w:eastAsia="Calibri" w:hAnsi="Arial" w:cs="Arial"/>
          <w:sz w:val="22"/>
          <w:szCs w:val="22"/>
          <w:lang w:val="en-GB"/>
        </w:rPr>
        <w:t>June</w:t>
      </w:r>
      <w:r w:rsidR="00FA009A" w:rsidRPr="000978F1">
        <w:rPr>
          <w:rFonts w:ascii="Arial" w:eastAsia="Calibri" w:hAnsi="Arial" w:cs="Arial"/>
          <w:sz w:val="22"/>
          <w:szCs w:val="22"/>
          <w:lang w:val="en-GB"/>
        </w:rPr>
        <w:t xml:space="preserve"> 2020</w:t>
      </w:r>
    </w:p>
    <w:p w14:paraId="23030D3E" w14:textId="4031059C" w:rsidR="00FA009A" w:rsidRPr="000978F1" w:rsidRDefault="00FF1217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Dear parent/carer</w:t>
      </w:r>
    </w:p>
    <w:p w14:paraId="471FCBE7" w14:textId="77777777" w:rsidR="00C434E9" w:rsidRPr="000978F1" w:rsidRDefault="00C434E9" w:rsidP="00C434E9">
      <w:pPr>
        <w:rPr>
          <w:rFonts w:ascii="Arial" w:eastAsia="Calibri" w:hAnsi="Arial" w:cs="Arial"/>
          <w:sz w:val="22"/>
          <w:szCs w:val="22"/>
          <w:lang w:val="en-GB"/>
        </w:rPr>
      </w:pPr>
    </w:p>
    <w:p w14:paraId="29DE4897" w14:textId="77777777" w:rsidR="00C434E9" w:rsidRPr="000978F1" w:rsidRDefault="00C434E9" w:rsidP="00C434E9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0978F1">
        <w:rPr>
          <w:rFonts w:ascii="Arial" w:eastAsia="Calibri" w:hAnsi="Arial" w:cs="Arial"/>
          <w:b/>
          <w:sz w:val="22"/>
          <w:szCs w:val="22"/>
          <w:lang w:val="en-GB"/>
        </w:rPr>
        <w:t>Re: Year 10 and Year 12 Assessments for 2020</w:t>
      </w:r>
    </w:p>
    <w:p w14:paraId="4F93A35E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6DEF372B" w14:textId="385CE7D7" w:rsidR="00FA009A" w:rsidRPr="000978F1" w:rsidRDefault="000978F1" w:rsidP="00FA009A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lastRenderedPageBreak/>
        <w:t xml:space="preserve">I </w:t>
      </w:r>
      <w:r w:rsidR="00FA009A" w:rsidRPr="000978F1">
        <w:rPr>
          <w:rFonts w:ascii="Arial" w:eastAsia="Calibri" w:hAnsi="Arial" w:cs="Arial"/>
          <w:sz w:val="22"/>
          <w:szCs w:val="22"/>
          <w:lang w:val="en-GB"/>
        </w:rPr>
        <w:t>hope that you and your families are well and have managed to spend some quality time together</w:t>
      </w:r>
      <w:r w:rsidR="00833BB3" w:rsidRPr="000978F1">
        <w:rPr>
          <w:rFonts w:ascii="Arial" w:eastAsia="Calibri" w:hAnsi="Arial" w:cs="Arial"/>
          <w:sz w:val="22"/>
          <w:szCs w:val="22"/>
          <w:lang w:val="en-GB"/>
        </w:rPr>
        <w:t xml:space="preserve"> over the half term</w:t>
      </w:r>
      <w:r w:rsidR="00FA009A" w:rsidRPr="000978F1">
        <w:rPr>
          <w:rFonts w:ascii="Arial" w:eastAsia="Calibri" w:hAnsi="Arial" w:cs="Arial"/>
          <w:sz w:val="22"/>
          <w:szCs w:val="22"/>
          <w:lang w:val="en-GB"/>
        </w:rPr>
        <w:t xml:space="preserve">. </w:t>
      </w:r>
    </w:p>
    <w:p w14:paraId="0D246DA7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F3A6F43" w14:textId="2600F9C2" w:rsidR="00193A92" w:rsidRDefault="000612CF" w:rsidP="00FA009A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Following Mr Rae’s letter of 1 June 2020, I am writing to inform you of how we intend to assess the progress of students in Year 10 and Year 12 during the summer term.</w:t>
      </w:r>
    </w:p>
    <w:p w14:paraId="6A4AF0C8" w14:textId="77777777" w:rsidR="000612CF" w:rsidRDefault="000612CF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6B731648" w14:textId="58E6469B" w:rsidR="00FA009A" w:rsidRPr="000978F1" w:rsidRDefault="00193A92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We would typically have had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examinations</w:t>
      </w:r>
      <w:r w:rsidR="000612CF">
        <w:rPr>
          <w:rFonts w:ascii="Arial" w:eastAsia="Calibri" w:hAnsi="Arial" w:cs="Arial"/>
          <w:sz w:val="22"/>
          <w:szCs w:val="22"/>
          <w:lang w:val="en-GB"/>
        </w:rPr>
        <w:t xml:space="preserve"> for both year groups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at this point in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the academic year.  These examinations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would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then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be used by teachers to inform the planning of the next academic year. 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The results from these assessments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>are also used to inform UCAS predicted grades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for Year 12 students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. </w:t>
      </w:r>
    </w:p>
    <w:p w14:paraId="368F430A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10B9E1E" w14:textId="3C2F7B55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These assessments are now more important than ever. Our staff need to assess the impact of Home Learning, so that we can be</w:t>
      </w:r>
      <w:r w:rsidR="00833BB3" w:rsidRPr="000978F1">
        <w:rPr>
          <w:rFonts w:ascii="Arial" w:eastAsia="Calibri" w:hAnsi="Arial" w:cs="Arial"/>
          <w:sz w:val="22"/>
          <w:szCs w:val="22"/>
          <w:lang w:val="en-GB"/>
        </w:rPr>
        <w:t>st prepare for academic year 2020-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21, and ensure that the outcomes our young people achieve continue to be the best in the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lastRenderedPageBreak/>
        <w:t>lo</w:t>
      </w:r>
      <w:r w:rsidR="00193A92">
        <w:rPr>
          <w:rFonts w:ascii="Arial" w:eastAsia="Calibri" w:hAnsi="Arial" w:cs="Arial"/>
          <w:sz w:val="22"/>
          <w:szCs w:val="22"/>
          <w:lang w:val="en-GB"/>
        </w:rPr>
        <w:t>cal area. We also need to identify</w:t>
      </w:r>
      <w:r w:rsidR="00833BB3" w:rsidRPr="000978F1">
        <w:rPr>
          <w:rFonts w:ascii="Arial" w:eastAsia="Calibri" w:hAnsi="Arial" w:cs="Arial"/>
          <w:sz w:val="22"/>
          <w:szCs w:val="22"/>
          <w:lang w:val="en-GB"/>
        </w:rPr>
        <w:t xml:space="preserve"> any gaps</w:t>
      </w:r>
      <w:r w:rsidR="00193A92">
        <w:rPr>
          <w:rFonts w:ascii="Arial" w:eastAsia="Calibri" w:hAnsi="Arial" w:cs="Arial"/>
          <w:sz w:val="22"/>
          <w:szCs w:val="22"/>
          <w:lang w:val="en-GB"/>
        </w:rPr>
        <w:t xml:space="preserve"> in knowledge</w:t>
      </w:r>
      <w:r w:rsidR="00A01E1C">
        <w:rPr>
          <w:rFonts w:ascii="Arial" w:eastAsia="Calibri" w:hAnsi="Arial" w:cs="Arial"/>
          <w:sz w:val="22"/>
          <w:szCs w:val="22"/>
          <w:lang w:val="en-GB"/>
        </w:rPr>
        <w:t>,</w:t>
      </w:r>
      <w:r w:rsidR="00193A92">
        <w:rPr>
          <w:rFonts w:ascii="Arial" w:eastAsia="Calibri" w:hAnsi="Arial" w:cs="Arial"/>
          <w:sz w:val="22"/>
          <w:szCs w:val="22"/>
          <w:lang w:val="en-GB"/>
        </w:rPr>
        <w:t xml:space="preserve"> understanding and skills</w:t>
      </w:r>
      <w:r w:rsidR="00A01E1C">
        <w:rPr>
          <w:rFonts w:ascii="Arial" w:eastAsia="Calibri" w:hAnsi="Arial" w:cs="Arial"/>
          <w:sz w:val="22"/>
          <w:szCs w:val="22"/>
          <w:lang w:val="en-GB"/>
        </w:rPr>
        <w:t xml:space="preserve"> to en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sure that these are addressed. </w:t>
      </w:r>
    </w:p>
    <w:p w14:paraId="25BDA351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72F19AA" w14:textId="519D5F74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In order to achieve this, in the week beginning 22 June</w:t>
      </w:r>
      <w:r w:rsidR="00193A92">
        <w:rPr>
          <w:rFonts w:ascii="Arial" w:eastAsia="Calibri" w:hAnsi="Arial" w:cs="Arial"/>
          <w:sz w:val="22"/>
          <w:szCs w:val="22"/>
          <w:lang w:val="en-GB"/>
        </w:rPr>
        <w:t xml:space="preserve"> 2020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, teachers of Year 10 and </w:t>
      </w:r>
      <w:r w:rsidR="00193A92">
        <w:rPr>
          <w:rFonts w:ascii="Arial" w:eastAsia="Calibri" w:hAnsi="Arial" w:cs="Arial"/>
          <w:sz w:val="22"/>
          <w:szCs w:val="22"/>
          <w:lang w:val="en-GB"/>
        </w:rPr>
        <w:t xml:space="preserve">Year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12 will be setting students assessments to be completed. </w:t>
      </w:r>
      <w:r w:rsidR="00193A92">
        <w:rPr>
          <w:rFonts w:ascii="Arial" w:eastAsia="Calibri" w:hAnsi="Arial" w:cs="Arial"/>
          <w:sz w:val="22"/>
          <w:szCs w:val="22"/>
          <w:lang w:val="en-GB"/>
        </w:rPr>
        <w:t>These a</w:t>
      </w:r>
      <w:r w:rsidR="00833BB3" w:rsidRPr="000978F1">
        <w:rPr>
          <w:rFonts w:ascii="Arial" w:eastAsia="Calibri" w:hAnsi="Arial" w:cs="Arial"/>
          <w:sz w:val="22"/>
          <w:szCs w:val="22"/>
          <w:lang w:val="en-GB"/>
        </w:rPr>
        <w:t xml:space="preserve">ssessments will take place in all GCSE and A Level subjects. 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>Although the Academy may be partially re-opened to these year groups</w:t>
      </w:r>
      <w:r w:rsidR="00F82DC3">
        <w:rPr>
          <w:rFonts w:ascii="Arial" w:eastAsia="Calibri" w:hAnsi="Arial" w:cs="Arial"/>
          <w:sz w:val="22"/>
          <w:szCs w:val="22"/>
          <w:lang w:val="en-GB"/>
        </w:rPr>
        <w:t>,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 we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intend for these assessments to be </w:t>
      </w:r>
      <w:r w:rsidR="00F82DC3">
        <w:rPr>
          <w:rFonts w:ascii="Arial" w:eastAsia="Calibri" w:hAnsi="Arial" w:cs="Arial"/>
          <w:sz w:val="22"/>
          <w:szCs w:val="22"/>
          <w:lang w:val="en-GB"/>
        </w:rPr>
        <w:t>completed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 as part of Home Learning.</w:t>
      </w:r>
    </w:p>
    <w:p w14:paraId="64F87449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3A1181D" w14:textId="2D8C2F94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It is essential that students take these assessments seriousl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>y. Whilst we cannot ensure exam conditions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>, it is crucial that st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udents observe these as much as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possible. </w:t>
      </w:r>
    </w:p>
    <w:p w14:paraId="4626D060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6999EA30" w14:textId="22EFB107" w:rsidR="00FA009A" w:rsidRPr="000978F1" w:rsidRDefault="00193A92" w:rsidP="00FA009A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I </w:t>
      </w:r>
      <w:r w:rsidR="00FA009A" w:rsidRPr="000978F1">
        <w:rPr>
          <w:rFonts w:ascii="Arial" w:eastAsia="Calibri" w:hAnsi="Arial" w:cs="Arial"/>
          <w:sz w:val="22"/>
          <w:szCs w:val="22"/>
          <w:lang w:val="en-GB"/>
        </w:rPr>
        <w:t xml:space="preserve">would recommend 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>that students do the following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when completing each assessment</w:t>
      </w:r>
      <w:r w:rsidR="00FA009A" w:rsidRPr="000978F1">
        <w:rPr>
          <w:rFonts w:ascii="Arial" w:eastAsia="Calibri" w:hAnsi="Arial" w:cs="Arial"/>
          <w:sz w:val="22"/>
          <w:szCs w:val="22"/>
          <w:lang w:val="en-GB"/>
        </w:rPr>
        <w:t>:</w:t>
      </w:r>
    </w:p>
    <w:p w14:paraId="50BA191D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E625A09" w14:textId="77777777" w:rsidR="00FA009A" w:rsidRPr="000978F1" w:rsidRDefault="00FA009A" w:rsidP="00FA009A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lastRenderedPageBreak/>
        <w:t>Turn off electronic devices (that are not used as part of the assessment e.g. calculators)</w:t>
      </w:r>
    </w:p>
    <w:p w14:paraId="12CD7607" w14:textId="305FC65F" w:rsidR="00FA009A" w:rsidRPr="000978F1" w:rsidRDefault="00FA009A" w:rsidP="000978F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Where possible complete these in a quiet space separate from other members of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 the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household</w:t>
      </w:r>
    </w:p>
    <w:p w14:paraId="6F35A31C" w14:textId="4CBEEA5A" w:rsidR="00FA009A" w:rsidRPr="000978F1" w:rsidRDefault="000978F1" w:rsidP="00FA009A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Only use</w:t>
      </w:r>
      <w:r w:rsidR="00FA009A" w:rsidRPr="000978F1">
        <w:rPr>
          <w:rFonts w:ascii="Arial" w:eastAsia="Calibri" w:hAnsi="Arial" w:cs="Arial"/>
          <w:sz w:val="22"/>
          <w:szCs w:val="22"/>
          <w:lang w:val="en-GB"/>
        </w:rPr>
        <w:t xml:space="preserve"> the prescribed equipment when completing the assessment.</w:t>
      </w:r>
    </w:p>
    <w:p w14:paraId="77BF6EB1" w14:textId="77777777" w:rsidR="00FA009A" w:rsidRPr="000978F1" w:rsidRDefault="00FA009A" w:rsidP="00FA009A">
      <w:pPr>
        <w:ind w:left="720"/>
        <w:contextualSpacing/>
        <w:rPr>
          <w:rFonts w:ascii="Arial" w:eastAsia="Calibri" w:hAnsi="Arial" w:cs="Arial"/>
          <w:sz w:val="22"/>
          <w:szCs w:val="22"/>
          <w:lang w:val="en-GB"/>
        </w:rPr>
      </w:pPr>
    </w:p>
    <w:p w14:paraId="0E79BB92" w14:textId="2E949960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Each teacher will set a deadline for these assessments to be returned to them </w:t>
      </w:r>
      <w:r w:rsidR="00193A92">
        <w:rPr>
          <w:rFonts w:ascii="Arial" w:eastAsia="Calibri" w:hAnsi="Arial" w:cs="Arial"/>
          <w:sz w:val="22"/>
          <w:szCs w:val="22"/>
          <w:lang w:val="en-GB"/>
        </w:rPr>
        <w:t>for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 marking and appropriate feedback. I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>will provide further guidance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>,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in due course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>,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on the f</w:t>
      </w:r>
      <w:r w:rsidR="000978F1">
        <w:rPr>
          <w:rFonts w:ascii="Arial" w:eastAsia="Calibri" w:hAnsi="Arial" w:cs="Arial"/>
          <w:sz w:val="22"/>
          <w:szCs w:val="22"/>
          <w:lang w:val="en-GB"/>
        </w:rPr>
        <w:t xml:space="preserve">ormat of these assessments,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>how</w:t>
      </w:r>
      <w:r w:rsidR="00193A92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they </w:t>
      </w:r>
      <w:r w:rsidR="000978F1">
        <w:rPr>
          <w:rFonts w:ascii="Arial" w:eastAsia="Calibri" w:hAnsi="Arial" w:cs="Arial"/>
          <w:sz w:val="22"/>
          <w:szCs w:val="22"/>
          <w:lang w:val="en-GB"/>
        </w:rPr>
        <w:t xml:space="preserve">will be set and how they 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>should be returned to the A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cademy. </w:t>
      </w:r>
    </w:p>
    <w:p w14:paraId="6F1D902D" w14:textId="77777777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C30FAC4" w14:textId="2A837683" w:rsidR="00FA009A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Finally,</w:t>
      </w:r>
      <w:r w:rsidR="000978F1" w:rsidRPr="000978F1">
        <w:rPr>
          <w:rFonts w:ascii="Arial" w:eastAsia="Calibri" w:hAnsi="Arial" w:cs="Arial"/>
          <w:sz w:val="22"/>
          <w:szCs w:val="22"/>
          <w:lang w:val="en-GB"/>
        </w:rPr>
        <w:t xml:space="preserve"> I 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>would like to take this opportunity to say thank you for your continued support. Please continue to follow our Home Learning Timetables, as we move to the next phase</w:t>
      </w:r>
      <w:r w:rsidR="00F82DC3">
        <w:rPr>
          <w:rFonts w:ascii="Arial" w:eastAsia="Calibri" w:hAnsi="Arial" w:cs="Arial"/>
          <w:sz w:val="22"/>
          <w:szCs w:val="22"/>
          <w:lang w:val="en-GB"/>
        </w:rPr>
        <w:t xml:space="preserve"> of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this journey.</w:t>
      </w:r>
    </w:p>
    <w:p w14:paraId="3D6E0B6B" w14:textId="63C87A17" w:rsidR="00193A92" w:rsidRDefault="00193A92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1D00BC9E" w14:textId="77FC4875" w:rsidR="00193A92" w:rsidRPr="000978F1" w:rsidRDefault="00193A92" w:rsidP="00FA009A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lastRenderedPageBreak/>
        <w:t>Please feel free to contact me if you wish to discuss any aspect of this letter.</w:t>
      </w:r>
    </w:p>
    <w:p w14:paraId="184B60B8" w14:textId="474F3B85" w:rsidR="00FA009A" w:rsidRPr="000978F1" w:rsidRDefault="00FA009A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1ECA219A" w14:textId="0F137E65" w:rsidR="00FA009A" w:rsidRPr="000978F1" w:rsidRDefault="006B0187" w:rsidP="00FA009A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Yours sincerely</w:t>
      </w:r>
      <w:bookmarkStart w:id="0" w:name="_GoBack"/>
      <w:bookmarkEnd w:id="0"/>
    </w:p>
    <w:p w14:paraId="4B77D19C" w14:textId="77777777" w:rsidR="008910C1" w:rsidRPr="000978F1" w:rsidRDefault="008910C1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EB11E25" w14:textId="77777777" w:rsidR="00741E77" w:rsidRPr="000978F1" w:rsidRDefault="008910C1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7E0E9B0" wp14:editId="3A71FAF3">
            <wp:extent cx="1255059" cy="428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7886" cy="43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4E6D" w14:textId="77777777" w:rsidR="008910C1" w:rsidRPr="000978F1" w:rsidRDefault="008910C1" w:rsidP="00FA009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1A739566" w14:textId="7B350288" w:rsidR="00741E77" w:rsidRPr="000978F1" w:rsidRDefault="00741E77" w:rsidP="00FA009A">
      <w:pPr>
        <w:rPr>
          <w:rFonts w:ascii="Arial" w:eastAsia="Calibri" w:hAnsi="Arial" w:cs="Arial"/>
          <w:sz w:val="22"/>
          <w:szCs w:val="22"/>
          <w:lang w:val="en-GB"/>
        </w:rPr>
      </w:pPr>
      <w:r w:rsidRPr="000978F1">
        <w:rPr>
          <w:rFonts w:ascii="Arial" w:eastAsia="Calibri" w:hAnsi="Arial" w:cs="Arial"/>
          <w:sz w:val="22"/>
          <w:szCs w:val="22"/>
          <w:lang w:val="en-GB"/>
        </w:rPr>
        <w:t>Mr M</w:t>
      </w:r>
      <w:r w:rsidR="00EE47EB">
        <w:rPr>
          <w:rFonts w:ascii="Arial" w:eastAsia="Calibri" w:hAnsi="Arial" w:cs="Arial"/>
          <w:sz w:val="22"/>
          <w:szCs w:val="22"/>
          <w:lang w:val="en-GB"/>
        </w:rPr>
        <w:t>ike</w:t>
      </w:r>
      <w:r w:rsidRPr="000978F1">
        <w:rPr>
          <w:rFonts w:ascii="Arial" w:eastAsia="Calibri" w:hAnsi="Arial" w:cs="Arial"/>
          <w:sz w:val="22"/>
          <w:szCs w:val="22"/>
          <w:lang w:val="en-GB"/>
        </w:rPr>
        <w:t xml:space="preserve"> Brett</w:t>
      </w:r>
    </w:p>
    <w:p w14:paraId="5F372FD0" w14:textId="77777777" w:rsidR="00741E77" w:rsidRPr="00EE47EB" w:rsidRDefault="00741E77" w:rsidP="00FA009A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EE47EB">
        <w:rPr>
          <w:rFonts w:ascii="Arial" w:eastAsia="Calibri" w:hAnsi="Arial" w:cs="Arial"/>
          <w:b/>
          <w:sz w:val="22"/>
          <w:szCs w:val="22"/>
          <w:lang w:val="en-GB"/>
        </w:rPr>
        <w:t>Assistant Principal</w:t>
      </w:r>
    </w:p>
    <w:p w14:paraId="63321C85" w14:textId="77777777" w:rsidR="00E341CC" w:rsidRPr="000978F1" w:rsidRDefault="00E341CC" w:rsidP="00E341CC">
      <w:pPr>
        <w:rPr>
          <w:rFonts w:ascii="Arial" w:hAnsi="Arial" w:cs="Arial"/>
          <w:color w:val="191E35"/>
          <w:sz w:val="22"/>
          <w:szCs w:val="22"/>
          <w:lang w:val="en-GB"/>
        </w:rPr>
      </w:pPr>
    </w:p>
    <w:p w14:paraId="147D11FB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1D2780BC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0F8268C4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18F9F116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7A29037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28362CD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5721DA0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5E76415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58F7551D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2389316C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6139C7AF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00AE8169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1A73DC9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7FA1B0B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60EC3DD3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620CB6C5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1CCC8BB8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6E18D7C0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4A19CCA5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5ACCC55C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062F2F78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p w14:paraId="5B3CB209" w14:textId="77777777" w:rsidR="00E341CC" w:rsidRDefault="00E341CC" w:rsidP="00E341CC">
      <w:pPr>
        <w:rPr>
          <w:rFonts w:asciiTheme="minorHAnsi" w:hAnsiTheme="minorHAnsi" w:cs="MyriadPro-Light"/>
          <w:color w:val="191E35"/>
          <w:sz w:val="18"/>
          <w:szCs w:val="18"/>
          <w:lang w:val="en-GB"/>
        </w:rPr>
      </w:pPr>
    </w:p>
    <w:sectPr w:rsidR="00E341CC" w:rsidSect="00E341CC">
      <w:head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8FB0" w14:textId="77777777" w:rsidR="00CC3EA2" w:rsidRDefault="00CC3EA2" w:rsidP="00E341CC">
      <w:r>
        <w:separator/>
      </w:r>
    </w:p>
  </w:endnote>
  <w:endnote w:type="continuationSeparator" w:id="0">
    <w:p w14:paraId="50E9BFFB" w14:textId="77777777" w:rsidR="00CC3EA2" w:rsidRDefault="00CC3EA2" w:rsidP="00E341CC">
      <w:r>
        <w:continuationSeparator/>
      </w:r>
    </w:p>
  </w:endnote>
  <w:endnote w:type="continuationNotice" w:id="1">
    <w:p w14:paraId="15857F1F" w14:textId="77777777" w:rsidR="00CC3EA2" w:rsidRDefault="00CC3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CA7B" w14:textId="77777777" w:rsidR="008A5278" w:rsidRDefault="008A5278">
    <w:pPr>
      <w:pStyle w:val="Footer"/>
    </w:pPr>
  </w:p>
  <w:p w14:paraId="0BFFA834" w14:textId="77777777" w:rsidR="008A5278" w:rsidRDefault="008A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8B78" w14:textId="77777777" w:rsidR="008A5278" w:rsidRPr="00B8361D" w:rsidRDefault="008A5278" w:rsidP="00E341CC">
    <w:pPr>
      <w:rPr>
        <w:rFonts w:asciiTheme="minorHAnsi" w:hAnsiTheme="minorHAnsi" w:cs="MyriadPro-Light"/>
        <w:color w:val="191E35"/>
        <w:sz w:val="18"/>
        <w:szCs w:val="18"/>
        <w:lang w:val="en-GB"/>
      </w:rPr>
    </w:pPr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The </w:t>
    </w:r>
    <w:proofErr w:type="spellStart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>Dukeries</w:t>
    </w:r>
    <w:proofErr w:type="spellEnd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 Academy, </w:t>
    </w:r>
    <w:proofErr w:type="spellStart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>Whinney</w:t>
    </w:r>
    <w:proofErr w:type="spellEnd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 Lane, Newark, </w:t>
    </w:r>
    <w:proofErr w:type="spellStart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>Notts</w:t>
    </w:r>
    <w:proofErr w:type="spellEnd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>, NG22 9TD</w:t>
    </w:r>
  </w:p>
  <w:p w14:paraId="3D9889EF" w14:textId="77777777" w:rsidR="008A5278" w:rsidRPr="00B8361D" w:rsidRDefault="008A5278" w:rsidP="00E341CC">
    <w:pPr>
      <w:rPr>
        <w:rFonts w:asciiTheme="minorHAnsi" w:hAnsiTheme="minorHAnsi" w:cs="MyriadPro-Light"/>
        <w:color w:val="191E35"/>
        <w:sz w:val="18"/>
        <w:szCs w:val="18"/>
        <w:lang w:val="en-GB"/>
      </w:rPr>
    </w:pPr>
    <w:r w:rsidRPr="00B8361D">
      <w:rPr>
        <w:rFonts w:asciiTheme="minorHAnsi" w:hAnsiTheme="minorHAnsi" w:cs="MyriadPro-Light"/>
        <w:b/>
        <w:color w:val="191E35"/>
        <w:sz w:val="18"/>
        <w:szCs w:val="18"/>
        <w:lang w:val="en-GB"/>
      </w:rPr>
      <w:t>T</w:t>
    </w:r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: 01623 </w:t>
    </w:r>
    <w:proofErr w:type="gramStart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860545  </w:t>
    </w:r>
    <w:r w:rsidRPr="00B8361D">
      <w:rPr>
        <w:rFonts w:asciiTheme="minorHAnsi" w:hAnsiTheme="minorHAnsi" w:cs="MyriadPro-Light"/>
        <w:b/>
        <w:color w:val="191E35"/>
        <w:sz w:val="18"/>
        <w:szCs w:val="18"/>
        <w:lang w:val="en-GB"/>
      </w:rPr>
      <w:t>F</w:t>
    </w:r>
    <w:proofErr w:type="gramEnd"/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: 01623 836082  </w:t>
    </w:r>
    <w:r w:rsidRPr="00B8361D">
      <w:rPr>
        <w:rFonts w:asciiTheme="minorHAnsi" w:hAnsiTheme="minorHAnsi" w:cs="MyriadPro-Light"/>
        <w:b/>
        <w:color w:val="191E35"/>
        <w:sz w:val="18"/>
        <w:szCs w:val="18"/>
        <w:lang w:val="en-GB"/>
      </w:rPr>
      <w:t>E</w:t>
    </w:r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 xml:space="preserve">: office@dukeries.attrust.org.uk  </w:t>
    </w:r>
    <w:r w:rsidRPr="00B8361D">
      <w:rPr>
        <w:rFonts w:asciiTheme="minorHAnsi" w:hAnsiTheme="minorHAnsi" w:cs="MyriadPro-Light"/>
        <w:b/>
        <w:color w:val="191E35"/>
        <w:sz w:val="18"/>
        <w:szCs w:val="18"/>
        <w:lang w:val="en-GB"/>
      </w:rPr>
      <w:t>W</w:t>
    </w:r>
    <w:r w:rsidRPr="00B8361D">
      <w:rPr>
        <w:rFonts w:asciiTheme="minorHAnsi" w:hAnsiTheme="minorHAnsi" w:cs="MyriadPro-Light"/>
        <w:color w:val="191E35"/>
        <w:sz w:val="18"/>
        <w:szCs w:val="18"/>
        <w:lang w:val="en-GB"/>
      </w:rPr>
      <w:t>: www.dukeries.attrust.org.uk</w:t>
    </w:r>
  </w:p>
  <w:p w14:paraId="1FF05BBC" w14:textId="77777777" w:rsidR="008A5278" w:rsidRDefault="008A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3908" w14:textId="77777777" w:rsidR="00CC3EA2" w:rsidRDefault="00CC3EA2" w:rsidP="00E341CC">
      <w:r>
        <w:separator/>
      </w:r>
    </w:p>
  </w:footnote>
  <w:footnote w:type="continuationSeparator" w:id="0">
    <w:p w14:paraId="30BF7B44" w14:textId="77777777" w:rsidR="00CC3EA2" w:rsidRDefault="00CC3EA2" w:rsidP="00E341CC">
      <w:r>
        <w:continuationSeparator/>
      </w:r>
    </w:p>
  </w:footnote>
  <w:footnote w:type="continuationNotice" w:id="1">
    <w:p w14:paraId="47D23347" w14:textId="77777777" w:rsidR="00CC3EA2" w:rsidRDefault="00CC3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9698" w14:textId="77777777" w:rsidR="008A5278" w:rsidRDefault="008A527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57E"/>
    <w:multiLevelType w:val="hybridMultilevel"/>
    <w:tmpl w:val="C64E1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51061"/>
    <w:multiLevelType w:val="hybridMultilevel"/>
    <w:tmpl w:val="00BA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AE"/>
    <w:rsid w:val="000612CF"/>
    <w:rsid w:val="000978F1"/>
    <w:rsid w:val="000B2B44"/>
    <w:rsid w:val="000D4AAE"/>
    <w:rsid w:val="00193A92"/>
    <w:rsid w:val="001F6672"/>
    <w:rsid w:val="002A5509"/>
    <w:rsid w:val="0036330A"/>
    <w:rsid w:val="003D3521"/>
    <w:rsid w:val="00461C9B"/>
    <w:rsid w:val="00507497"/>
    <w:rsid w:val="006B0187"/>
    <w:rsid w:val="00736011"/>
    <w:rsid w:val="00741E77"/>
    <w:rsid w:val="0077585D"/>
    <w:rsid w:val="007A6F3F"/>
    <w:rsid w:val="00833BB3"/>
    <w:rsid w:val="00843790"/>
    <w:rsid w:val="00845CB4"/>
    <w:rsid w:val="00872FCC"/>
    <w:rsid w:val="0087382E"/>
    <w:rsid w:val="008910C1"/>
    <w:rsid w:val="008A5278"/>
    <w:rsid w:val="00A01E1C"/>
    <w:rsid w:val="00A54582"/>
    <w:rsid w:val="00AE2119"/>
    <w:rsid w:val="00B26A5B"/>
    <w:rsid w:val="00B575A4"/>
    <w:rsid w:val="00C434E9"/>
    <w:rsid w:val="00CC3EA2"/>
    <w:rsid w:val="00CF3F1E"/>
    <w:rsid w:val="00D85A75"/>
    <w:rsid w:val="00DB544D"/>
    <w:rsid w:val="00E341CC"/>
    <w:rsid w:val="00EB1613"/>
    <w:rsid w:val="00EE47EB"/>
    <w:rsid w:val="00F144D8"/>
    <w:rsid w:val="00F82DC3"/>
    <w:rsid w:val="00FA009A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167C"/>
  <w15:chartTrackingRefBased/>
  <w15:docId w15:val="{0F05E966-F314-490A-9F43-5EEB76F9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A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75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85D"/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4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CC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CC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388BDE244646B19BCB7669284F62" ma:contentTypeVersion="13" ma:contentTypeDescription="Create a new document." ma:contentTypeScope="" ma:versionID="2bc3f9d6262b364f8c13076af29d1c96">
  <xsd:schema xmlns:xsd="http://www.w3.org/2001/XMLSchema" xmlns:xs="http://www.w3.org/2001/XMLSchema" xmlns:p="http://schemas.microsoft.com/office/2006/metadata/properties" xmlns:ns3="5f3db3cc-c385-4e79-bd81-bc38d8ef9a6d" xmlns:ns4="d775472b-cabb-4250-a3bf-f89a9a3fbca8" targetNamespace="http://schemas.microsoft.com/office/2006/metadata/properties" ma:root="true" ma:fieldsID="04a88ae97669614690142002c85c71aa" ns3:_="" ns4:_="">
    <xsd:import namespace="5f3db3cc-c385-4e79-bd81-bc38d8ef9a6d"/>
    <xsd:import namespace="d775472b-cabb-4250-a3bf-f89a9a3fb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b3cc-c385-4e79-bd81-bc38d8ef9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472b-cabb-4250-a3bf-f89a9a3f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F9C5A-3788-43ED-B991-C37393CC8FE0}">
  <ds:schemaRefs>
    <ds:schemaRef ds:uri="d775472b-cabb-4250-a3bf-f89a9a3fbca8"/>
    <ds:schemaRef ds:uri="5f3db3cc-c385-4e79-bd81-bc38d8ef9a6d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41431A-2716-4119-8FC0-61000C871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5C2F0-6885-4CD7-8F53-4B0816BE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b3cc-c385-4e79-bd81-bc38d8ef9a6d"/>
    <ds:schemaRef ds:uri="d775472b-cabb-4250-a3bf-f89a9a3f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6E0585AB</Template>
  <TotalTime>22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Edwards</dc:creator>
  <cp:keywords/>
  <dc:description/>
  <cp:lastModifiedBy>Kay Shepherd</cp:lastModifiedBy>
  <cp:revision>4</cp:revision>
  <dcterms:created xsi:type="dcterms:W3CDTF">2020-06-02T07:36:00Z</dcterms:created>
  <dcterms:modified xsi:type="dcterms:W3CDTF">2020-06-02T07:57:00Z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0x01010030CB388BDE244646B19BCB7669284F62</vt:lpwstr>
  </property>
</Properties>
</file>